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pPr>
      <w:r>
        <w:drawing>
          <wp:inline distT="0" distB="0" distL="0" distR="0">
            <wp:extent cx="4236695" cy="1129031"/>
            <wp:effectExtent l="0" t="0" r="0" b="0"/>
            <wp:docPr id="1073741825" name="officeArt object" descr="University of Phoenix logo"/>
            <wp:cNvGraphicFramePr/>
            <a:graphic xmlns:a="http://schemas.openxmlformats.org/drawingml/2006/main">
              <a:graphicData uri="http://schemas.openxmlformats.org/drawingml/2006/picture">
                <pic:pic xmlns:pic="http://schemas.openxmlformats.org/drawingml/2006/picture">
                  <pic:nvPicPr>
                    <pic:cNvPr id="1073741825" name="University of Phoenix logo" descr="University of Phoenix logo"/>
                    <pic:cNvPicPr>
                      <a:picLocks noChangeAspect="1"/>
                    </pic:cNvPicPr>
                  </pic:nvPicPr>
                  <pic:blipFill>
                    <a:blip r:embed="rId4">
                      <a:extLst/>
                    </a:blip>
                    <a:srcRect l="5120" t="17190" r="0" b="0"/>
                    <a:stretch>
                      <a:fillRect/>
                    </a:stretch>
                  </pic:blipFill>
                  <pic:spPr>
                    <a:xfrm>
                      <a:off x="0" y="0"/>
                      <a:ext cx="4236695" cy="1129031"/>
                    </a:xfrm>
                    <a:prstGeom prst="rect">
                      <a:avLst/>
                    </a:prstGeom>
                    <a:ln w="12700" cap="flat">
                      <a:noFill/>
                      <a:miter lim="400000"/>
                    </a:ln>
                    <a:effectLst/>
                  </pic:spPr>
                </pic:pic>
              </a:graphicData>
            </a:graphic>
          </wp:inline>
        </w:drawing>
      </w:r>
    </w:p>
    <w:p>
      <w:pPr>
        <w:pStyle w:val="Title"/>
      </w:pPr>
      <w:r>
        <w:rPr>
          <w:rtl w:val="0"/>
          <w:lang w:val="en-US"/>
        </w:rPr>
        <w:t>Program or Service Observation Form</w:t>
      </w:r>
    </w:p>
    <w:p>
      <w:pPr>
        <w:pStyle w:val="Body"/>
      </w:pPr>
      <w:r>
        <w:rPr>
          <w:b w:val="1"/>
          <w:bCs w:val="1"/>
          <w:rtl w:val="0"/>
          <w:lang w:val="pt-PT"/>
        </w:rPr>
        <w:t>Record</w:t>
      </w:r>
      <w:r>
        <w:rPr>
          <w:rtl w:val="0"/>
          <w:lang w:val="en-US"/>
        </w:rPr>
        <w:t xml:space="preserve"> your observations of the program or service your instructor approved for you. Submit this form with your final learning team assignment. </w:t>
      </w:r>
    </w:p>
    <w:tbl>
      <w:tblPr>
        <w:tblW w:w="9576"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8118"/>
        <w:gridCol w:w="720"/>
        <w:gridCol w:w="738"/>
      </w:tblGrid>
      <w:tr>
        <w:tblPrEx>
          <w:shd w:val="clear" w:color="auto" w:fill="cecece"/>
        </w:tblPrEx>
        <w:trPr>
          <w:trHeight w:val="448" w:hRule="atLeast"/>
        </w:trPr>
        <w:tc>
          <w:tcPr>
            <w:tcW w:type="dxa" w:w="81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Body"/>
              <w:spacing w:after="0"/>
            </w:pPr>
            <w:r>
              <w:rPr>
                <w:b w:val="1"/>
                <w:bCs w:val="1"/>
                <w:rtl w:val="0"/>
                <w:lang w:val="en-US"/>
              </w:rPr>
              <w:t xml:space="preserve">Part 1: Basic Information </w:t>
            </w:r>
            <w:r>
              <w:rPr>
                <w:b w:val="1"/>
                <w:bCs w:val="1"/>
              </w:rPr>
            </w:r>
          </w:p>
        </w:tc>
        <w:tc>
          <w:tcPr>
            <w:tcW w:type="dxa" w:w="7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3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
              </w:numPr>
              <w:spacing w:after="0"/>
              <w:rPr>
                <w:lang w:val="en-US"/>
              </w:rPr>
            </w:pPr>
            <w:r>
              <w:rPr>
                <w:rtl w:val="0"/>
                <w:lang w:val="en-US"/>
              </w:rPr>
              <w:t xml:space="preserve">What is the name of the program or service?  Include address, phone, and name of the person who gave you the tour. </w:t>
            </w:r>
          </w:p>
        </w:tc>
      </w:tr>
      <w:tr>
        <w:tblPrEx>
          <w:shd w:val="clear" w:color="auto" w:fill="cecece"/>
        </w:tblPrEx>
        <w:trPr>
          <w:trHeight w:val="66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pPr>
            <w:r>
              <w:rPr>
                <w:rtl w:val="0"/>
                <w:lang w:val="en-US"/>
              </w:rPr>
              <w:t>Kinder Hearts Hospice, 842 Mockingbird Lane, abilene tx 79603. Kani Thompson 325-672-6135</w:t>
            </w:r>
            <w:r>
              <w:rPr>
                <w:lang w:val="en-US"/>
              </w:rPr>
            </w: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3"/>
              </w:numPr>
              <w:spacing w:after="0"/>
              <w:rPr>
                <w:lang w:val="en-US"/>
              </w:rPr>
            </w:pPr>
            <w:r>
              <w:rPr>
                <w:rtl w:val="0"/>
                <w:lang w:val="en-US"/>
              </w:rPr>
              <w:t>Provide a description of the program or service.</w:t>
            </w:r>
          </w:p>
        </w:tc>
      </w:tr>
      <w:tr>
        <w:tblPrEx>
          <w:shd w:val="clear" w:color="auto" w:fill="cecece"/>
        </w:tblPrEx>
        <w:trPr>
          <w:trHeight w:val="198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r>
              <w:rPr>
                <w:rtl w:val="0"/>
                <w:lang w:val="en-US"/>
              </w:rPr>
              <w:t xml:space="preserve">Kinder Hearts Hospice is a long term/end of life program/service for patients who are terminally ill. They offer home care, respite care, nursing and hospice aids, grief support for families and patients, symptom and pain management and many other services. They offer a wonderful program for veterans in which they perform a ceremony close to the end of life honoring the life of the hero who served for our country. While hospice is considered end of life care, that is not necessarily the case all the time. Hospice is a program that offers comfort and pain management at all levels of severity for patients. There are patients who are on hospice for decades according to Kani. </w:t>
            </w:r>
          </w:p>
          <w:p>
            <w:pPr>
              <w:pStyle w:val="Body"/>
              <w:spacing w:after="0"/>
            </w:pPr>
            <w:r>
              <w:rPr>
                <w:lang w:val="en-US"/>
              </w:rPr>
            </w:r>
          </w:p>
        </w:tc>
      </w:tr>
    </w:tbl>
    <w:p>
      <w:pPr>
        <w:pStyle w:val="Body"/>
        <w:widowControl w:val="0"/>
      </w:pPr>
    </w:p>
    <w:p>
      <w:pPr>
        <w:pStyle w:val="Body"/>
      </w:pPr>
    </w:p>
    <w:tbl>
      <w:tblPr>
        <w:tblW w:w="9576"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8118"/>
        <w:gridCol w:w="720"/>
        <w:gridCol w:w="738"/>
      </w:tblGrid>
      <w:tr>
        <w:tblPrEx>
          <w:shd w:val="clear" w:color="auto" w:fill="cecece"/>
        </w:tblPrEx>
        <w:trPr>
          <w:trHeight w:val="448" w:hRule="atLeast"/>
        </w:trPr>
        <w:tc>
          <w:tcPr>
            <w:tcW w:type="dxa" w:w="81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Body"/>
              <w:spacing w:after="0"/>
            </w:pPr>
            <w:r>
              <w:rPr>
                <w:b w:val="1"/>
                <w:bCs w:val="1"/>
                <w:rtl w:val="0"/>
                <w:lang w:val="en-US"/>
              </w:rPr>
              <w:t xml:space="preserve">Part 2: Program or Service Qualifications </w:t>
            </w:r>
            <w:r>
              <w:rPr>
                <w:b w:val="1"/>
                <w:bCs w:val="1"/>
              </w:rPr>
            </w:r>
          </w:p>
        </w:tc>
        <w:tc>
          <w:tcPr>
            <w:tcW w:type="dxa" w:w="7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3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4"/>
              </w:numPr>
              <w:spacing w:after="0"/>
              <w:rPr>
                <w:lang w:val="en-US"/>
              </w:rPr>
            </w:pPr>
            <w:r>
              <w:rPr>
                <w:rtl w:val="0"/>
                <w:lang w:val="en-US"/>
              </w:rPr>
              <w:t>Is the program or service licensed? Is it accredited? What requirements must it meet to obtain these?</w:t>
            </w:r>
          </w:p>
        </w:tc>
      </w:tr>
      <w:tr>
        <w:tblPrEx>
          <w:shd w:val="clear" w:color="auto" w:fill="cecece"/>
        </w:tblPrEx>
        <w:trPr>
          <w:trHeight w:val="286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pPr>
            <w:r>
              <w:rPr>
                <w:rtl w:val="0"/>
                <w:lang w:val="en-US"/>
              </w:rPr>
              <w:t xml:space="preserve">This is a licensed program and is accredited through CHAP or Community Health Accreditation Program. The CHAP requirements are quite extreme. There is an application that takes 5 days after submission. There is another 2-3 day wait for the contract to be verified. There is then a 3 month timeframe given for self study. Then sometime in the following 90 days there is a site visit from CHAP where they review documentation, files and staff records. Then if anything is found to be deficient, they allow 30 days to create a plan of correction. The board then reviews the plan of correction and has 21 days to accept or decline before granting accreditation. This process is repeated every 3 years to maintain accreditation. For licensing through the state of Texas, Hospice programs must first apply and admit one patient to services and then request an initial survey. Upon successful completion of an initial survey, they will be considered licensed under Texas state and will have an annual open book survey and the state can also choose to do random surveys as they see fit. </w:t>
            </w:r>
            <w:r>
              <w:rPr>
                <w:lang w:val="en-US"/>
              </w:rPr>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6"/>
              </w:numPr>
              <w:spacing w:after="0"/>
              <w:rPr>
                <w:lang w:val="en-US"/>
              </w:rPr>
            </w:pPr>
            <w:r>
              <w:rPr>
                <w:rtl w:val="0"/>
                <w:lang w:val="en-US"/>
              </w:rPr>
              <w:t>How often is the program or service reviewed to ensure the program meets the requirements? How rigorous is the review process?</w:t>
            </w:r>
          </w:p>
        </w:tc>
      </w:tr>
      <w:tr>
        <w:tblPrEx>
          <w:shd w:val="clear" w:color="auto" w:fill="cecece"/>
        </w:tblPrEx>
        <w:trPr>
          <w:trHeight w:val="66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ind w:left="360"/>
            </w:pPr>
            <w:r>
              <w:rPr>
                <w:rtl w:val="0"/>
                <w:lang w:val="en-US"/>
              </w:rPr>
              <w:t xml:space="preserve">For accreditation it is reviewed every 3 years and the process is exactly the same as the initial accreditation process so it is extremely lengthy. For licensing through the state there is an annual survey to remain a licensed agency. </w:t>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8"/>
              </w:numPr>
              <w:spacing w:after="0"/>
              <w:rPr>
                <w:lang w:val="en-US"/>
              </w:rPr>
            </w:pPr>
            <w:r>
              <w:rPr>
                <w:rtl w:val="0"/>
                <w:lang w:val="en-US"/>
              </w:rPr>
              <w:t>What are the staff</w:t>
            </w:r>
            <w:r>
              <w:rPr>
                <w:rtl w:val="0"/>
                <w:lang w:val="en-US"/>
              </w:rPr>
              <w:t>’</w:t>
            </w:r>
            <w:r>
              <w:rPr>
                <w:rtl w:val="0"/>
                <w:lang w:val="en-US"/>
              </w:rPr>
              <w:t>s qualifications? Does the program or service encourage or provide additional training for staff members?</w:t>
            </w:r>
          </w:p>
        </w:tc>
      </w:tr>
      <w:tr>
        <w:tblPrEx>
          <w:shd w:val="clear" w:color="auto" w:fill="cecece"/>
        </w:tblPrEx>
        <w:trPr>
          <w:trHeight w:val="15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rPr>
                <w:lang w:val="en-US"/>
              </w:rPr>
            </w:pPr>
          </w:p>
          <w:p>
            <w:pPr>
              <w:pStyle w:val="Body"/>
              <w:spacing w:after="0"/>
            </w:pPr>
            <w:r>
              <w:rPr>
                <w:rtl w:val="0"/>
                <w:lang w:val="en-US"/>
              </w:rPr>
              <w:t>The staff have different levels of qualifications. There are nursing staff, physicians, social workers, CNA</w:t>
            </w:r>
            <w:r>
              <w:rPr>
                <w:rtl w:val="0"/>
                <w:lang w:val="en-US"/>
              </w:rPr>
              <w:t>’</w:t>
            </w:r>
            <w:r>
              <w:rPr>
                <w:rtl w:val="0"/>
                <w:lang w:val="en-US"/>
              </w:rPr>
              <w:t xml:space="preserve">s, chaplains and volunteers. The volunteers go through a half a day training with staff members at their office. The nurses are of corse licensed. The chaplains also have training on end of life procedures and how to handle the emotional crisis that comes along with it. There is ongoing training for all paid employees as regulations change and Kinder Hearts always encourages additional training. </w:t>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0"/>
              </w:numPr>
              <w:spacing w:after="0"/>
              <w:rPr>
                <w:lang w:val="en-US"/>
              </w:rPr>
            </w:pPr>
            <w:r>
              <w:rPr>
                <w:rtl w:val="0"/>
                <w:lang w:val="en-US"/>
              </w:rPr>
              <w:t xml:space="preserve">Who provides funding for the program or service? What are the requirements to receive this funding? </w:t>
            </w:r>
          </w:p>
        </w:tc>
      </w:tr>
      <w:tr>
        <w:tblPrEx>
          <w:shd w:val="clear" w:color="auto" w:fill="cecece"/>
        </w:tblPrEx>
        <w:trPr>
          <w:trHeight w:val="110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rPr>
                <w:lang w:val="en-US"/>
              </w:rPr>
            </w:pPr>
          </w:p>
          <w:p>
            <w:pPr>
              <w:pStyle w:val="Body"/>
              <w:spacing w:after="0"/>
            </w:pPr>
            <w:r>
              <w:rPr>
                <w:rtl w:val="0"/>
                <w:lang w:val="en-US"/>
              </w:rPr>
              <w:t xml:space="preserve">Medicare and Medicaid pays for most of Hopsice. Private insurance sometimes pays a portion and private pay is also an option. The requirements for medicare and medicaid funding is the diagnosis, ie medical necessity, and financial eligibility. </w:t>
            </w:r>
          </w:p>
        </w:tc>
      </w:tr>
    </w:tbl>
    <w:p>
      <w:pPr>
        <w:pStyle w:val="Body"/>
        <w:widowControl w:val="0"/>
      </w:pPr>
    </w:p>
    <w:p>
      <w:pPr>
        <w:pStyle w:val="Body"/>
      </w:pPr>
    </w:p>
    <w:tbl>
      <w:tblPr>
        <w:tblW w:w="9576"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8118"/>
        <w:gridCol w:w="720"/>
        <w:gridCol w:w="738"/>
      </w:tblGrid>
      <w:tr>
        <w:tblPrEx>
          <w:shd w:val="clear" w:color="auto" w:fill="cecece"/>
        </w:tblPrEx>
        <w:trPr>
          <w:trHeight w:val="448" w:hRule="atLeast"/>
        </w:trPr>
        <w:tc>
          <w:tcPr>
            <w:tcW w:type="dxa" w:w="81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Body"/>
              <w:spacing w:after="0"/>
            </w:pPr>
            <w:r>
              <w:rPr>
                <w:b w:val="1"/>
                <w:bCs w:val="1"/>
                <w:rtl w:val="0"/>
                <w:lang w:val="en-US"/>
              </w:rPr>
              <w:t>Part 3. Public Perception</w:t>
            </w:r>
            <w:r>
              <w:rPr>
                <w:b w:val="1"/>
                <w:bCs w:val="1"/>
              </w:rPr>
            </w:r>
          </w:p>
        </w:tc>
        <w:tc>
          <w:tcPr>
            <w:tcW w:type="dxa" w:w="7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3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1"/>
              </w:numPr>
              <w:spacing w:after="0"/>
              <w:rPr>
                <w:lang w:val="en-US"/>
              </w:rPr>
            </w:pPr>
            <w:r>
              <w:rPr>
                <w:rtl w:val="0"/>
                <w:lang w:val="en-US"/>
              </w:rPr>
              <w:t>How long has the program or service been available in the community? Has it changed form or names since its creation?</w:t>
            </w:r>
          </w:p>
        </w:tc>
      </w:tr>
      <w:tr>
        <w:tblPrEx>
          <w:shd w:val="clear" w:color="auto" w:fill="cecece"/>
        </w:tblPrEx>
        <w:trPr>
          <w:trHeight w:val="66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rPr>
                <w:lang w:val="en-US"/>
              </w:rPr>
            </w:pPr>
          </w:p>
          <w:p>
            <w:pPr>
              <w:pStyle w:val="Body"/>
              <w:spacing w:after="0"/>
            </w:pPr>
            <w:r>
              <w:rPr>
                <w:rtl w:val="0"/>
                <w:lang w:val="en-US"/>
              </w:rPr>
              <w:t>Kinder Hearts has been around since 2002 in Abilene. It has not changed names since it</w:t>
            </w:r>
            <w:r>
              <w:rPr>
                <w:rtl w:val="0"/>
                <w:lang w:val="en-US"/>
              </w:rPr>
              <w:t>’</w:t>
            </w:r>
            <w:r>
              <w:rPr>
                <w:rtl w:val="0"/>
                <w:lang w:val="en-US"/>
              </w:rPr>
              <w:t xml:space="preserve">s creation. </w:t>
            </w: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3"/>
              </w:numPr>
              <w:spacing w:after="0"/>
              <w:rPr>
                <w:lang w:val="en-US"/>
              </w:rPr>
            </w:pPr>
            <w:r>
              <w:rPr>
                <w:rtl w:val="0"/>
                <w:lang w:val="en-US"/>
              </w:rPr>
              <w:t>What category does this program or service fit into</w:t>
            </w:r>
            <w:r>
              <w:rPr>
                <w:rtl w:val="0"/>
                <w:lang w:val="en-US"/>
              </w:rPr>
              <w:t>—</w:t>
            </w:r>
            <w:r>
              <w:rPr>
                <w:rtl w:val="0"/>
                <w:lang w:val="en-US"/>
              </w:rPr>
              <w:t>educational or social? How is this evident?</w:t>
            </w:r>
          </w:p>
        </w:tc>
      </w:tr>
      <w:tr>
        <w:tblPrEx>
          <w:shd w:val="clear" w:color="auto" w:fill="cecece"/>
        </w:tblPrEx>
        <w:trPr>
          <w:trHeight w:val="13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pPr>
            <w:r>
              <w:rPr>
                <w:rtl w:val="0"/>
                <w:lang w:val="en-US"/>
              </w:rPr>
              <w:t>It can be considered educational and social in my opinion. The program offers teaching for family members on how to take care of their loved ones while the nurses aren</w:t>
            </w:r>
            <w:r>
              <w:rPr>
                <w:rtl w:val="0"/>
                <w:lang w:val="en-US"/>
              </w:rPr>
              <w:t>’</w:t>
            </w:r>
            <w:r>
              <w:rPr>
                <w:rtl w:val="0"/>
                <w:lang w:val="en-US"/>
              </w:rPr>
              <w:t xml:space="preserve">t there. It can also be considered social because the nurses and other staff members are in the patients homes and assist in getting the patient placed in the facilities they need if necessary. </w:t>
            </w:r>
            <w:r>
              <w:rPr>
                <w:lang w:val="en-US"/>
              </w:rPr>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5"/>
              </w:numPr>
              <w:spacing w:after="0"/>
              <w:rPr>
                <w:lang w:val="en-US"/>
              </w:rPr>
            </w:pPr>
            <w:r>
              <w:rPr>
                <w:rtl w:val="0"/>
                <w:lang w:val="en-US"/>
              </w:rPr>
              <w:t>How is the program or service advertised? What is the most effective form of communication for this program or service?</w:t>
            </w:r>
          </w:p>
        </w:tc>
      </w:tr>
      <w:tr>
        <w:tblPrEx>
          <w:shd w:val="clear" w:color="auto" w:fill="cecece"/>
        </w:tblPrEx>
        <w:trPr>
          <w:trHeight w:val="110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rPr>
                <w:lang w:val="en-US"/>
              </w:rPr>
            </w:pPr>
          </w:p>
          <w:p>
            <w:pPr>
              <w:pStyle w:val="Body"/>
              <w:spacing w:after="0"/>
            </w:pPr>
            <w:r>
              <w:rPr>
                <w:rtl w:val="0"/>
                <w:lang w:val="en-US"/>
              </w:rPr>
              <w:t xml:space="preserve">Kinder Hearts does not advertise on TV or radio. It is mostly word of mouth and facebook. Their most effective form of communication is their marketer. She goes to the doctors and other facilities in town and markets directly with physicians and facilities to gain patients and awareness for their business. </w:t>
            </w: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7"/>
              </w:numPr>
              <w:spacing w:after="0"/>
              <w:rPr>
                <w:lang w:val="en-US"/>
              </w:rPr>
            </w:pPr>
            <w:r>
              <w:rPr>
                <w:rtl w:val="0"/>
                <w:lang w:val="en-US"/>
              </w:rPr>
              <w:t xml:space="preserve">Who benefits from this service or program? What populations does it serve? </w:t>
            </w:r>
          </w:p>
        </w:tc>
      </w:tr>
      <w:tr>
        <w:tblPrEx>
          <w:shd w:val="clear" w:color="auto" w:fill="cecece"/>
        </w:tblPrEx>
        <w:trPr>
          <w:trHeight w:val="88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pPr>
            <w:r>
              <w:rPr>
                <w:rtl w:val="0"/>
                <w:lang w:val="en-US"/>
              </w:rPr>
              <w:t xml:space="preserve">Hospice benefits patients with terminally ill diseases who do not want to suffer any longer. The population group is not defined to elderly because anyone can have a terminal disease. </w:t>
            </w:r>
            <w:r>
              <w:rPr>
                <w:lang w:val="en-US"/>
              </w:rPr>
            </w: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9"/>
              </w:numPr>
              <w:spacing w:after="0"/>
              <w:rPr>
                <w:lang w:val="en-US"/>
              </w:rPr>
            </w:pPr>
            <w:r>
              <w:rPr>
                <w:rtl w:val="0"/>
                <w:lang w:val="en-US"/>
              </w:rPr>
              <w:t>Is the program local or is it available in other communities?</w:t>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pPr>
            <w:r>
              <w:rPr>
                <w:rtl w:val="0"/>
                <w:lang w:val="en-US"/>
              </w:rPr>
              <w:t xml:space="preserve">The program is offered in Abilene and one other market in Wichita Falls which is close to Abilene. </w:t>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21"/>
              </w:numPr>
              <w:spacing w:after="0"/>
              <w:rPr>
                <w:lang w:val="en-US"/>
              </w:rPr>
            </w:pPr>
            <w:r>
              <w:rPr>
                <w:rtl w:val="0"/>
                <w:lang w:val="en-US"/>
              </w:rPr>
              <w:t xml:space="preserve">Does the program or service have a good reputation in the community? How does this program or service work with other organizations, the government, or local residents?  </w:t>
            </w:r>
          </w:p>
        </w:tc>
      </w:tr>
      <w:tr>
        <w:tblPrEx>
          <w:shd w:val="clear" w:color="auto" w:fill="cecece"/>
        </w:tblPrEx>
        <w:trPr>
          <w:trHeight w:val="110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rPr>
                <w:lang w:val="en-US"/>
              </w:rPr>
            </w:pPr>
          </w:p>
          <w:p>
            <w:pPr>
              <w:pStyle w:val="Body"/>
              <w:spacing w:after="0"/>
            </w:pPr>
            <w:r>
              <w:rPr>
                <w:rtl w:val="0"/>
                <w:lang w:val="en-US"/>
              </w:rPr>
              <w:t xml:space="preserve">The program has a great reputation in abilene. They have won multiple readers choice awards in Abilene and have a stellar medicare rating on </w:t>
            </w:r>
            <w:r>
              <w:rPr>
                <w:rStyle w:val="Hyperlink.0"/>
              </w:rPr>
              <w:fldChar w:fldCharType="begin" w:fldLock="0"/>
            </w:r>
            <w:r>
              <w:rPr>
                <w:rStyle w:val="Hyperlink.0"/>
              </w:rPr>
              <w:instrText xml:space="preserve"> HYPERLINK "http://medicare.gov"</w:instrText>
            </w:r>
            <w:r>
              <w:rPr>
                <w:rStyle w:val="Hyperlink.0"/>
              </w:rPr>
              <w:fldChar w:fldCharType="separate" w:fldLock="0"/>
            </w:r>
            <w:r>
              <w:rPr>
                <w:rStyle w:val="Hyperlink.0"/>
                <w:rtl w:val="0"/>
                <w:lang w:val="en-US"/>
              </w:rPr>
              <w:t>medicare.gov</w:t>
            </w:r>
            <w:r>
              <w:rPr/>
              <w:fldChar w:fldCharType="end" w:fldLock="0"/>
            </w:r>
            <w:r>
              <w:rPr>
                <w:rtl w:val="0"/>
                <w:lang w:val="en-US"/>
              </w:rPr>
              <w:t xml:space="preserve">. They are above the national average on most of the categories. </w:t>
            </w:r>
          </w:p>
        </w:tc>
      </w:tr>
    </w:tbl>
    <w:p>
      <w:pPr>
        <w:pStyle w:val="Body"/>
        <w:widowControl w:val="0"/>
      </w:pPr>
    </w:p>
    <w:p>
      <w:pPr>
        <w:pStyle w:val="Body"/>
      </w:pPr>
    </w:p>
    <w:tbl>
      <w:tblPr>
        <w:tblW w:w="9576"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8118"/>
        <w:gridCol w:w="720"/>
        <w:gridCol w:w="738"/>
      </w:tblGrid>
      <w:tr>
        <w:tblPrEx>
          <w:shd w:val="clear" w:color="auto" w:fill="cecece"/>
        </w:tblPrEx>
        <w:trPr>
          <w:trHeight w:val="448" w:hRule="atLeast"/>
        </w:trPr>
        <w:tc>
          <w:tcPr>
            <w:tcW w:type="dxa" w:w="81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Body"/>
              <w:spacing w:after="0"/>
            </w:pPr>
            <w:r>
              <w:rPr>
                <w:b w:val="1"/>
                <w:bCs w:val="1"/>
                <w:rtl w:val="0"/>
                <w:lang w:val="en-US"/>
              </w:rPr>
              <w:t xml:space="preserve">Part 4. Conclusion </w:t>
            </w:r>
            <w:r>
              <w:rPr>
                <w:b w:val="1"/>
                <w:bCs w:val="1"/>
              </w:rPr>
            </w:r>
          </w:p>
        </w:tc>
        <w:tc>
          <w:tcPr>
            <w:tcW w:type="dxa" w:w="7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3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22"/>
              </w:numPr>
              <w:spacing w:after="0"/>
              <w:rPr>
                <w:lang w:val="en-US"/>
              </w:rPr>
            </w:pPr>
            <w:r>
              <w:rPr>
                <w:rtl w:val="0"/>
                <w:lang w:val="en-US"/>
              </w:rPr>
              <w:t>Does the program or service appear effective? How can you tell?</w:t>
            </w:r>
          </w:p>
        </w:tc>
      </w:tr>
      <w:tr>
        <w:tblPrEx>
          <w:shd w:val="clear" w:color="auto" w:fill="cecece"/>
        </w:tblPrEx>
        <w:trPr>
          <w:trHeight w:val="13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rPr>
                <w:lang w:val="en-US"/>
              </w:rPr>
            </w:pPr>
          </w:p>
          <w:p>
            <w:pPr>
              <w:pStyle w:val="Body"/>
              <w:spacing w:after="0"/>
            </w:pPr>
            <w:r>
              <w:rPr>
                <w:rtl w:val="0"/>
                <w:lang w:val="en-US"/>
              </w:rPr>
              <w:t xml:space="preserve">The program is effective for patients and families. Hospice is a great program and helps patients have quality of life no matter how long that may be. Individuals who left reviews on facebook and other sites have nothing but great things to say about Kinder Hearts. Patients and families seem to love the staff in Abilene and that says a lot about a company. </w:t>
            </w:r>
          </w:p>
        </w:tc>
      </w:tr>
    </w:tbl>
    <w:p>
      <w:pPr>
        <w:pStyle w:val="Body"/>
        <w:widowControl w:val="0"/>
      </w:pPr>
      <w:r/>
    </w:p>
    <w:sectPr>
      <w:headerReference w:type="default" r:id="rId5"/>
      <w:headerReference w:type="first" r:id="rId6"/>
      <w:footerReference w:type="default" r:id="rId7"/>
      <w:footerReference w:type="first" r:id="rId8"/>
      <w:pgSz w:w="12240" w:h="15840" w:orient="portrait"/>
      <w:pgMar w:top="720" w:right="1440" w:bottom="1440" w:left="1440" w:header="720" w:footer="432"/>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16"/>
        <w:szCs w:val="16"/>
        <w:rtl w:val="0"/>
        <w:lang w:val="en-US"/>
      </w:rPr>
      <w:t>Copyright</w:t>
    </w:r>
    <w:r>
      <w:rPr>
        <w:sz w:val="16"/>
        <w:szCs w:val="16"/>
        <w:rtl w:val="0"/>
        <w:lang w:val="en-US"/>
      </w:rPr>
      <w:t xml:space="preserve">© </w:t>
    </w:r>
    <w:r>
      <w:rPr>
        <w:sz w:val="16"/>
        <w:szCs w:val="16"/>
        <w:rtl w:val="0"/>
        <w:lang w:val="en-US"/>
      </w:rPr>
      <w:t>2019 by University of Phoenix. All rights reserved.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16"/>
        <w:szCs w:val="16"/>
        <w:rtl w:val="0"/>
        <w:lang w:val="en-US"/>
      </w:rPr>
      <w:t>Copyright</w:t>
    </w:r>
    <w:r>
      <w:rPr>
        <w:sz w:val="16"/>
        <w:szCs w:val="16"/>
        <w:rtl w:val="0"/>
        <w:lang w:val="en-US"/>
      </w:rPr>
      <w:t xml:space="preserve">© </w:t>
    </w:r>
    <w:r>
      <w:rPr>
        <w:sz w:val="16"/>
        <w:szCs w:val="16"/>
        <w:rtl w:val="0"/>
        <w:lang w:val="en-US"/>
      </w:rPr>
      <w:t>2019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after="0"/>
      <w:ind w:left="5760" w:firstLine="0"/>
      <w:jc w:val="right"/>
    </w:pPr>
    <w:r>
      <w:rPr>
        <w:rtl w:val="0"/>
        <w:lang w:val="en-US"/>
      </w:rPr>
      <w:t>Program or Service Observation Form</w:t>
    </w:r>
  </w:p>
  <w:p>
    <w:pPr>
      <w:pStyle w:val="Body"/>
      <w:spacing w:after="0"/>
      <w:ind w:left="8190" w:firstLine="0"/>
      <w:jc w:val="right"/>
    </w:pPr>
    <w:r>
      <w:rPr>
        <w:rtl w:val="0"/>
      </w:rPr>
      <w:t>LTC/310 v4</w:t>
    </w:r>
  </w:p>
  <w:p>
    <w:pPr>
      <w:pStyle w:val="Body"/>
      <w:spacing w:after="0"/>
      <w:ind w:left="8190" w:firstLine="0"/>
      <w:jc w:val="right"/>
    </w:pPr>
    <w:r>
      <w:rPr>
        <w:rtl w:val="0"/>
        <w:lang w:val="da-DK"/>
      </w:rPr>
      <w:t xml:space="preserve">Page </w:t>
    </w:r>
    <w:r>
      <w:rPr>
        <w:rtl w:val="0"/>
      </w:rPr>
      <w:fldChar w:fldCharType="begin" w:fldLock="0"/>
    </w:r>
    <w:r>
      <w:rPr>
        <w:rtl w:val="0"/>
      </w:rPr>
      <w:instrText xml:space="preserve"> PAGE </w:instrText>
    </w:r>
    <w:r>
      <w:rPr>
        <w:rtl w:val="0"/>
      </w:rPr>
      <w:fldChar w:fldCharType="separate" w:fldLock="0"/>
    </w:r>
    <w:r>
      <w:rPr>
        <w:rtl w:val="0"/>
      </w:rPr>
      <w:t>1</w:t>
    </w:r>
    <w:r>
      <w:rPr>
        <w:rtl w:val="0"/>
      </w:rPr>
      <w:fldChar w:fldCharType="end" w:fldLock="0"/>
    </w:r>
    <w:r>
      <w:rPr>
        <w:rtl w:val="0"/>
        <w:lang w:val="en-US"/>
      </w:rPr>
      <w:t xml:space="preserve"> of </w:t>
    </w:r>
    <w:r>
      <w:rPr>
        <w:rtl w:val="0"/>
      </w:rPr>
      <w:fldChar w:fldCharType="begin" w:fldLock="0"/>
    </w:r>
    <w:r>
      <w:rPr>
        <w:rtl w:val="0"/>
      </w:rPr>
      <w:instrText xml:space="preserve"> NUMPAGES </w:instrText>
    </w:r>
    <w:r>
      <w:rPr>
        <w:rtl w:val="0"/>
      </w:rPr>
      <w:fldChar w:fldCharType="separate" w:fldLock="0"/>
    </w:r>
    <w:r>
      <w:rPr>
        <w:rtl w:val="0"/>
      </w:rPr>
      <w:t>1</w:t>
    </w:r>
    <w:r>
      <w:rPr>
        <w:rtl w:val="0"/>
      </w:rPr>
      <w:fldChar w:fldCharType="end" w:fldLock="0"/>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tl w:val="0"/>
        <w:lang w:val="en-US"/>
      </w:rPr>
      <w:t>LTC/310 v4</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1"/>
    <w:lvlOverride w:ilvl="0">
      <w:startOverride w:val="2"/>
    </w:lvlOverride>
  </w:num>
  <w:num w:numId="4">
    <w:abstractNumId w:val="2"/>
  </w:num>
  <w:num w:numId="5">
    <w:abstractNumId w:val="3"/>
  </w:num>
  <w:num w:numId="6">
    <w:abstractNumId w:val="3"/>
    <w:lvlOverride w:ilvl="0">
      <w:startOverride w:val="2"/>
    </w:lvlOverride>
  </w:num>
  <w:num w:numId="7">
    <w:abstractNumId w:val="4"/>
  </w:num>
  <w:num w:numId="8">
    <w:abstractNumId w:val="4"/>
    <w:lvlOverride w:ilvl="0">
      <w:startOverride w:val="3"/>
    </w:lvlOverride>
  </w:num>
  <w:num w:numId="9">
    <w:abstractNumId w:val="5"/>
  </w:num>
  <w:num w:numId="10">
    <w:abstractNumId w:val="5"/>
    <w:lvlOverride w:ilvl="0">
      <w:startOverride w:val="4"/>
    </w:lvlOverride>
  </w:num>
  <w:num w:numId="11">
    <w:abstractNumId w:val="6"/>
  </w:num>
  <w:num w:numId="12">
    <w:abstractNumId w:val="7"/>
  </w:num>
  <w:num w:numId="13">
    <w:abstractNumId w:val="7"/>
    <w:lvlOverride w:ilvl="0">
      <w:startOverride w:val="2"/>
    </w:lvlOverride>
  </w:num>
  <w:num w:numId="14">
    <w:abstractNumId w:val="8"/>
  </w:num>
  <w:num w:numId="15">
    <w:abstractNumId w:val="8"/>
    <w:lvlOverride w:ilvl="0">
      <w:startOverride w:val="3"/>
    </w:lvlOverride>
  </w:num>
  <w:num w:numId="16">
    <w:abstractNumId w:val="9"/>
  </w:num>
  <w:num w:numId="17">
    <w:abstractNumId w:val="9"/>
    <w:lvlOverride w:ilvl="0">
      <w:startOverride w:val="4"/>
    </w:lvlOverride>
  </w:num>
  <w:num w:numId="18">
    <w:abstractNumId w:val="10"/>
  </w:num>
  <w:num w:numId="19">
    <w:abstractNumId w:val="10"/>
    <w:lvlOverride w:ilvl="0">
      <w:startOverride w:val="5"/>
    </w:lvlOverride>
  </w:num>
  <w:num w:numId="20">
    <w:abstractNumId w:val="11"/>
  </w:num>
  <w:num w:numId="21">
    <w:abstractNumId w:val="11"/>
    <w:lvlOverride w:ilvl="0">
      <w:startOverride w:val="6"/>
    </w:lvlOverride>
  </w:num>
  <w:num w:numId="22">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Outline>
        <w14:noFill/>
      </w14:textOutline>
      <w14:textFill>
        <w14:solidFill>
          <w14:srgbClr w14:val="4D3733"/>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Fill>
        <w14:solidFill>
          <w14:srgbClr w14:val="4D3733"/>
        </w14:solidFill>
      </w14:textFill>
    </w:r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Fill>
        <w14:solidFill>
          <w14:srgbClr w14:val="4D3733"/>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de3518"/>
      <w:spacing w:val="-10"/>
      <w:kern w:val="28"/>
      <w:position w:val="0"/>
      <w:sz w:val="44"/>
      <w:szCs w:val="44"/>
      <w:u w:val="none" w:color="de3518"/>
      <w:vertAlign w:val="baseline"/>
      <w:lang w:val="en-US"/>
      <w14:textOutline>
        <w14:noFill/>
      </w14:textOutline>
      <w14:textFill>
        <w14:solidFill>
          <w14:srgbClr w14:val="DE3518"/>
        </w14:solidFill>
      </w14:textFill>
    </w:rPr>
  </w:style>
  <w:style w:type="character" w:styleId="Hyperlink.0">
    <w:name w:val="Hyperlink.0"/>
    <w:basedOn w:val="Hyperlink"/>
    <w:next w:val="Hyperlink.0"/>
    <w:rPr>
      <w:outline w:val="0"/>
      <w:color w:val="384f61"/>
      <w:u w:val="single" w:color="384f61"/>
      <w14:textFill>
        <w14:solidFill>
          <w14:srgbClr w14:val="384F6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Retrospect">
  <a:themeElements>
    <a:clrScheme name="Retrospect">
      <a:dk1>
        <a:srgbClr val="000000"/>
      </a:dk1>
      <a:lt1>
        <a:srgbClr val="FFFFFF"/>
      </a:lt1>
      <a:dk2>
        <a:srgbClr val="A7A7A7"/>
      </a:dk2>
      <a:lt2>
        <a:srgbClr val="535353"/>
      </a:lt2>
      <a:accent1>
        <a:srgbClr val="4F4F4F"/>
      </a:accent1>
      <a:accent2>
        <a:srgbClr val="808080"/>
      </a:accent2>
      <a:accent3>
        <a:srgbClr val="C0C0C0"/>
      </a:accent3>
      <a:accent4>
        <a:srgbClr val="E0E0E0"/>
      </a:accent4>
      <a:accent5>
        <a:srgbClr val="EDEDED"/>
      </a:accent5>
      <a:accent6>
        <a:srgbClr val="EEE9E3"/>
      </a:accent6>
      <a:hlink>
        <a:srgbClr val="0000FF"/>
      </a:hlink>
      <a:folHlink>
        <a:srgbClr val="FF00FF"/>
      </a:folHlink>
    </a:clrScheme>
    <a:fontScheme name="Retrospect">
      <a:majorFont>
        <a:latin typeface="Arial"/>
        <a:ea typeface="Arial"/>
        <a:cs typeface="Arial"/>
      </a:majorFont>
      <a:minorFont>
        <a:latin typeface="Helvetica Neue"/>
        <a:ea typeface="Helvetica Neue"/>
        <a:cs typeface="Helvetica Neue"/>
      </a:minorFont>
    </a:fontScheme>
    <a:fmtScheme name="Retrospec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2700000">
              <a:srgbClr val="000000">
                <a:alpha val="60000"/>
              </a:srgbClr>
            </a:outerShdw>
          </a:effectLst>
        </a:effectStyle>
        <a:effectStyle>
          <a:effectLst>
            <a:outerShdw sx="100000" sy="100000" kx="0" ky="0" algn="b" rotWithShape="0" blurRad="38100" dist="25400" dir="2700000">
              <a:srgbClr val="000000">
                <a:alpha val="60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4D3733"/>
        </a:solidFill>
        <a:ln w="15875" cap="flat">
          <a:solidFill>
            <a:schemeClr val="accent1"/>
          </a:solidFill>
          <a:prstDash val="solid"/>
          <a:round/>
        </a:ln>
        <a:effectLst>
          <a:outerShdw sx="100000" sy="100000" kx="0" ky="0" algn="b" rotWithShape="0" blurRad="38100" dist="25400" dir="2700000">
            <a:srgbClr val="000000">
              <a:alpha val="60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DE3518"/>
            </a:solidFill>
            <a:effectLst/>
            <a:uFillTx/>
            <a:latin typeface="+mj-lt"/>
            <a:ea typeface="+mj-ea"/>
            <a:cs typeface="+mj-cs"/>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5875"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DE3518"/>
            </a:solidFill>
            <a:effectLst/>
            <a:uFillTx/>
            <a:latin typeface="+mj-lt"/>
            <a:ea typeface="+mj-ea"/>
            <a:cs typeface="+mj-cs"/>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